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0" w:type="dxa"/>
        <w:jc w:val="center"/>
        <w:tblCellSpacing w:w="0" w:type="dxa"/>
        <w:tblBorders>
          <w:top w:val="single" w:sz="12" w:space="0" w:color="CCCCCC"/>
          <w:left w:val="single" w:sz="12" w:space="0" w:color="CCCCCC"/>
          <w:bottom w:val="single" w:sz="12" w:space="0" w:color="CCCCCC"/>
          <w:right w:val="single" w:sz="12" w:space="0" w:color="CCCCCC"/>
        </w:tblBorders>
        <w:shd w:val="clear" w:color="auto" w:fill="FFFFFF"/>
        <w:tblCellMar>
          <w:left w:w="0" w:type="dxa"/>
          <w:right w:w="0" w:type="dxa"/>
        </w:tblCellMar>
        <w:tblLook w:val="04A0"/>
      </w:tblPr>
      <w:tblGrid>
        <w:gridCol w:w="8970"/>
      </w:tblGrid>
      <w:tr w:rsidR="00F974BC" w:rsidRPr="00F974BC" w:rsidTr="00F974BC">
        <w:trPr>
          <w:tblCellSpacing w:w="0" w:type="dxa"/>
          <w:jc w:val="center"/>
        </w:trPr>
        <w:tc>
          <w:tcPr>
            <w:tcW w:w="0" w:type="auto"/>
            <w:tcBorders>
              <w:top w:val="nil"/>
              <w:left w:val="nil"/>
              <w:bottom w:val="nil"/>
              <w:right w:val="nil"/>
            </w:tcBorders>
            <w:shd w:val="clear" w:color="auto" w:fill="FFFFFF"/>
            <w:tcMar>
              <w:top w:w="225" w:type="dxa"/>
              <w:left w:w="0" w:type="dxa"/>
              <w:bottom w:w="225" w:type="dxa"/>
              <w:right w:w="0" w:type="dxa"/>
            </w:tcMar>
            <w:hideMark/>
          </w:tcPr>
          <w:tbl>
            <w:tblPr>
              <w:tblW w:w="8970" w:type="dxa"/>
              <w:tblCellSpacing w:w="0" w:type="dxa"/>
              <w:tblCellMar>
                <w:left w:w="0" w:type="dxa"/>
                <w:right w:w="0" w:type="dxa"/>
              </w:tblCellMar>
              <w:tblLook w:val="04A0"/>
            </w:tblPr>
            <w:tblGrid>
              <w:gridCol w:w="6310"/>
              <w:gridCol w:w="2660"/>
            </w:tblGrid>
            <w:tr w:rsidR="00F974BC" w:rsidRPr="00F974BC">
              <w:trPr>
                <w:tblCellSpacing w:w="0" w:type="dxa"/>
              </w:trPr>
              <w:tc>
                <w:tcPr>
                  <w:tcW w:w="6120" w:type="dxa"/>
                  <w:tcMar>
                    <w:top w:w="150" w:type="dxa"/>
                    <w:left w:w="0" w:type="dxa"/>
                    <w:bottom w:w="0" w:type="dxa"/>
                    <w:right w:w="0" w:type="dxa"/>
                  </w:tcMar>
                  <w:hideMark/>
                </w:tcPr>
                <w:p w:rsidR="00F974BC" w:rsidRPr="00F974BC" w:rsidRDefault="00F974BC" w:rsidP="00F974BC">
                  <w:r w:rsidRPr="00F974BC">
                    <w:rPr>
                      <w:b/>
                      <w:bCs/>
                    </w:rPr>
                    <w:t>Helping Babies Breathe catalyzing Helping Babies Survive Webinar</w:t>
                  </w:r>
                </w:p>
                <w:p w:rsidR="00F974BC" w:rsidRPr="00F974BC" w:rsidRDefault="00F974BC" w:rsidP="00F974BC">
                  <w:r w:rsidRPr="00F974BC">
                    <w:t xml:space="preserve">Join us for a webinar </w:t>
                  </w:r>
                  <w:proofErr w:type="spellStart"/>
                  <w:r w:rsidRPr="00F974BC">
                    <w:t>on</w:t>
                  </w:r>
                  <w:r w:rsidRPr="00F974BC">
                    <w:rPr>
                      <w:b/>
                      <w:bCs/>
                    </w:rPr>
                    <w:t>Monday</w:t>
                  </w:r>
                  <w:proofErr w:type="spellEnd"/>
                  <w:r w:rsidRPr="00F974BC">
                    <w:rPr>
                      <w:b/>
                      <w:bCs/>
                    </w:rPr>
                    <w:t xml:space="preserve"> Jun 08, 2015</w:t>
                  </w:r>
                  <w:r w:rsidRPr="00F974BC">
                    <w:t xml:space="preserve"> at 9:00 AM CST; 10:00 AM EDT; 2:00 PM GMT; 4:00 PM CEST,  </w:t>
                  </w:r>
                </w:p>
                <w:p w:rsidR="00F974BC" w:rsidRPr="00F974BC" w:rsidRDefault="00F974BC" w:rsidP="00F974BC">
                  <w:r w:rsidRPr="00F974BC">
                    <w:rPr>
                      <w:b/>
                      <w:bCs/>
                    </w:rPr>
                    <w:t>Register now!</w:t>
                  </w:r>
                </w:p>
                <w:p w:rsidR="00F974BC" w:rsidRPr="00F974BC" w:rsidRDefault="00F974BC" w:rsidP="00F974BC">
                  <w:hyperlink r:id="rId4" w:tgtFrame="_blank" w:history="1">
                    <w:r w:rsidRPr="00F974BC">
                      <w:rPr>
                        <w:rStyle w:val="Hyperlink"/>
                      </w:rPr>
                      <w:t>https://attendee.gotowebinar.com/register/23524418054435841</w:t>
                    </w:r>
                  </w:hyperlink>
                </w:p>
                <w:p w:rsidR="00F974BC" w:rsidRPr="00F974BC" w:rsidRDefault="00F974BC" w:rsidP="00F974BC">
                  <w:r w:rsidRPr="00F974BC">
                    <w:t xml:space="preserve">LESSONS LEARNED GUIDING THE WAY FORWARD </w:t>
                  </w:r>
                  <w:r w:rsidRPr="00F974BC">
                    <w:br/>
                  </w:r>
                  <w:r w:rsidRPr="00F974BC">
                    <w:br/>
                    <w:t xml:space="preserve">What have we learned from introducing basic newborn resuscitation in over 70 countries? How can we help more newborns survive and thrive globally? How will we help 100,000 babies Survive and Thrive in Ethiopia, India and Nigeria? </w:t>
                  </w:r>
                  <w:r w:rsidRPr="00F974BC">
                    <w:br/>
                  </w:r>
                  <w:r w:rsidRPr="00F974BC">
                    <w:br/>
                    <w:t xml:space="preserve">The Helping Babies Breathe public-private partnership has introduced newborn resuscitation programs in 77 countries, over 50 of which are coordinated by national governments. Building on the success of the Helping Babies Breathe model, the Survive and Thrive public-private partnership developed the Helping Babies Survive suite of modules to address all leading causes of newborn death. </w:t>
                  </w:r>
                  <w:r w:rsidRPr="00F974BC">
                    <w:br/>
                  </w:r>
                  <w:r w:rsidRPr="00F974BC">
                    <w:br/>
                    <w:t xml:space="preserve">Webinar Moderator: </w:t>
                  </w:r>
                  <w:r w:rsidRPr="00F974BC">
                    <w:br/>
                    <w:t xml:space="preserve">Steve Wall, Save the Children </w:t>
                  </w:r>
                  <w:r w:rsidRPr="00F974BC">
                    <w:br/>
                  </w:r>
                  <w:r w:rsidRPr="00F974BC">
                    <w:br/>
                    <w:t xml:space="preserve">Speakers: </w:t>
                  </w:r>
                  <w:r w:rsidRPr="00F974BC">
                    <w:br/>
                  </w:r>
                  <w:r w:rsidRPr="00F974BC">
                    <w:rPr>
                      <w:b/>
                      <w:bCs/>
                    </w:rPr>
                    <w:t>Achievements and Lessons Learned from the Helping Babies Breathe Global Development Alliance: Harnessing the Power of Public-Private Partnership for International Health</w:t>
                  </w:r>
                  <w:r w:rsidRPr="00F974BC">
                    <w:t xml:space="preserve"> by Lily </w:t>
                  </w:r>
                  <w:proofErr w:type="spellStart"/>
                  <w:r w:rsidRPr="00F974BC">
                    <w:t>Kak</w:t>
                  </w:r>
                  <w:proofErr w:type="spellEnd"/>
                  <w:r w:rsidRPr="00F974BC">
                    <w:t xml:space="preserve">, U.S. Agency for International Development </w:t>
                  </w:r>
                  <w:r w:rsidRPr="00F974BC">
                    <w:br/>
                  </w:r>
                  <w:r w:rsidRPr="00F974BC">
                    <w:br/>
                  </w:r>
                  <w:r w:rsidRPr="00F974BC">
                    <w:rPr>
                      <w:b/>
                      <w:bCs/>
                    </w:rPr>
                    <w:t>The Role of the Private Sector in International Health: What is in it for us?</w:t>
                  </w:r>
                  <w:r w:rsidRPr="00F974BC">
                    <w:t xml:space="preserve"> by Tore </w:t>
                  </w:r>
                  <w:proofErr w:type="spellStart"/>
                  <w:r w:rsidRPr="00F974BC">
                    <w:t>Laerdal</w:t>
                  </w:r>
                  <w:proofErr w:type="spellEnd"/>
                  <w:r w:rsidRPr="00F974BC">
                    <w:t xml:space="preserve">, </w:t>
                  </w:r>
                  <w:proofErr w:type="spellStart"/>
                  <w:r w:rsidRPr="00F974BC">
                    <w:t>Laerdal</w:t>
                  </w:r>
                  <w:proofErr w:type="spellEnd"/>
                  <w:r w:rsidRPr="00F974BC">
                    <w:t xml:space="preserve"> Global Health </w:t>
                  </w:r>
                  <w:r w:rsidRPr="00F974BC">
                    <w:br/>
                  </w:r>
                  <w:r w:rsidRPr="00F974BC">
                    <w:br/>
                  </w:r>
                  <w:r w:rsidRPr="00F974BC">
                    <w:rPr>
                      <w:b/>
                      <w:bCs/>
                    </w:rPr>
                    <w:t>Innovations in Training Methods: Demystification, Simplification, Simulation, Quality Improvement</w:t>
                  </w:r>
                  <w:r w:rsidRPr="00F974BC">
                    <w:t xml:space="preserve"> by Susan </w:t>
                  </w:r>
                  <w:proofErr w:type="spellStart"/>
                  <w:r w:rsidRPr="00F974BC">
                    <w:t>Niermeyer</w:t>
                  </w:r>
                  <w:proofErr w:type="spellEnd"/>
                  <w:r w:rsidRPr="00F974BC">
                    <w:t xml:space="preserve"> and </w:t>
                  </w:r>
                  <w:proofErr w:type="spellStart"/>
                  <w:r w:rsidRPr="00F974BC">
                    <w:t>Nalini</w:t>
                  </w:r>
                  <w:proofErr w:type="spellEnd"/>
                  <w:r w:rsidRPr="00F974BC">
                    <w:t xml:space="preserve"> </w:t>
                  </w:r>
                  <w:proofErr w:type="spellStart"/>
                  <w:r w:rsidRPr="00F974BC">
                    <w:t>Singhal</w:t>
                  </w:r>
                  <w:proofErr w:type="spellEnd"/>
                  <w:r w:rsidRPr="00F974BC">
                    <w:t xml:space="preserve">, American Academy of Pediatrics </w:t>
                  </w:r>
                  <w:r w:rsidRPr="00F974BC">
                    <w:br/>
                  </w:r>
                  <w:r w:rsidRPr="00F974BC">
                    <w:br/>
                  </w:r>
                  <w:r w:rsidRPr="00F974BC">
                    <w:rPr>
                      <w:b/>
                      <w:bCs/>
                    </w:rPr>
                    <w:t xml:space="preserve">Rolling out Helping Babies Breathe on a National Scale in Tanzania: Lessons Learned </w:t>
                  </w:r>
                  <w:r w:rsidRPr="00F974BC">
                    <w:t xml:space="preserve">by Georgina </w:t>
                  </w:r>
                  <w:proofErr w:type="spellStart"/>
                  <w:r w:rsidRPr="00F974BC">
                    <w:t>Msemo</w:t>
                  </w:r>
                  <w:proofErr w:type="spellEnd"/>
                  <w:r w:rsidRPr="00F974BC">
                    <w:t xml:space="preserve">, Ministry of Health and Social Welfare, Tanzania </w:t>
                  </w:r>
                  <w:r w:rsidRPr="00F974BC">
                    <w:br/>
                  </w:r>
                  <w:r w:rsidRPr="00F974BC">
                    <w:br/>
                  </w:r>
                  <w:r w:rsidRPr="00F974BC">
                    <w:rPr>
                      <w:b/>
                      <w:bCs/>
                    </w:rPr>
                    <w:t>Helping 100,000 Babies Survive and Thrive</w:t>
                  </w:r>
                  <w:r w:rsidRPr="00F974BC">
                    <w:t xml:space="preserve"> by </w:t>
                  </w:r>
                  <w:proofErr w:type="spellStart"/>
                  <w:r w:rsidRPr="00F974BC">
                    <w:t>Bogale</w:t>
                  </w:r>
                  <w:proofErr w:type="spellEnd"/>
                  <w:r w:rsidRPr="00F974BC">
                    <w:t xml:space="preserve"> </w:t>
                  </w:r>
                  <w:proofErr w:type="spellStart"/>
                  <w:r w:rsidRPr="00F974BC">
                    <w:t>Worku</w:t>
                  </w:r>
                  <w:proofErr w:type="spellEnd"/>
                  <w:r w:rsidRPr="00F974BC">
                    <w:t xml:space="preserve">, Ethiopian Pediatrics Society, Ethiopia; </w:t>
                  </w:r>
                  <w:proofErr w:type="spellStart"/>
                  <w:r w:rsidRPr="00F974BC">
                    <w:t>Naveen</w:t>
                  </w:r>
                  <w:proofErr w:type="spellEnd"/>
                  <w:r w:rsidRPr="00F974BC">
                    <w:t xml:space="preserve"> Thacker, Indian Academy of Pediatrics, India; and  </w:t>
                  </w:r>
                  <w:proofErr w:type="spellStart"/>
                  <w:r w:rsidRPr="00F974BC">
                    <w:t>Nnenna</w:t>
                  </w:r>
                  <w:proofErr w:type="spellEnd"/>
                  <w:r w:rsidRPr="00F974BC">
                    <w:t xml:space="preserve"> </w:t>
                  </w:r>
                  <w:proofErr w:type="spellStart"/>
                  <w:r w:rsidRPr="00F974BC">
                    <w:t>Ihebuzor</w:t>
                  </w:r>
                  <w:proofErr w:type="spellEnd"/>
                  <w:r w:rsidRPr="00F974BC">
                    <w:t>, National Primary Health Care Development Agency, Nigeria  </w:t>
                  </w:r>
                </w:p>
                <w:p w:rsidR="00F974BC" w:rsidRPr="00F974BC" w:rsidRDefault="00F974BC" w:rsidP="00F974BC">
                  <w:r w:rsidRPr="00F974BC">
                    <w:t>After registering, you will receive a confirmation email containing information about joining the webinar.</w:t>
                  </w:r>
                </w:p>
                <w:p w:rsidR="00F974BC" w:rsidRPr="00F974BC" w:rsidRDefault="00F974BC" w:rsidP="00F974BC">
                  <w:hyperlink r:id="rId5" w:tgtFrame="_blank" w:history="1">
                    <w:r w:rsidRPr="00F974BC">
                      <w:rPr>
                        <w:rStyle w:val="Hyperlink"/>
                      </w:rPr>
                      <w:t>View System Requirements</w:t>
                    </w:r>
                  </w:hyperlink>
                </w:p>
                <w:p w:rsidR="00F974BC" w:rsidRPr="00F974BC" w:rsidRDefault="00F974BC" w:rsidP="00F974BC">
                  <w:r w:rsidRPr="00F974BC">
                    <w:drawing>
                      <wp:inline distT="0" distB="0" distL="0" distR="0">
                        <wp:extent cx="9525" cy="9525"/>
                        <wp:effectExtent l="0" t="0" r="0" b="0"/>
                        <wp:docPr id="17" name="Picture 17" descr="https://global.gotowebinar.com/tk/registrationEmail/2352441805443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lobal.gotowebinar.com/tk/registrationEmail/2352441805443584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2250" w:type="dxa"/>
                  <w:tcMar>
                    <w:top w:w="150" w:type="dxa"/>
                    <w:left w:w="0" w:type="dxa"/>
                    <w:bottom w:w="0" w:type="dxa"/>
                    <w:right w:w="300" w:type="dxa"/>
                  </w:tcMar>
                  <w:hideMark/>
                </w:tcPr>
                <w:p w:rsidR="00F974BC" w:rsidRPr="00F974BC" w:rsidRDefault="00F974BC" w:rsidP="00F974BC">
                  <w:r w:rsidRPr="00F974BC">
                    <w:drawing>
                      <wp:inline distT="0" distB="0" distL="0" distR="0">
                        <wp:extent cx="1428750" cy="1990725"/>
                        <wp:effectExtent l="19050" t="0" r="0" b="0"/>
                        <wp:docPr id="18" name="Picture 18" descr="cid:image005.jpg@01D09898.0B91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5.jpg@01D09898.0B910A10"/>
                                <pic:cNvPicPr>
                                  <a:picLocks noChangeAspect="1" noChangeArrowheads="1"/>
                                </pic:cNvPicPr>
                              </pic:nvPicPr>
                              <pic:blipFill>
                                <a:blip r:embed="rId7" r:link="rId8"/>
                                <a:srcRect/>
                                <a:stretch>
                                  <a:fillRect/>
                                </a:stretch>
                              </pic:blipFill>
                              <pic:spPr bwMode="auto">
                                <a:xfrm>
                                  <a:off x="0" y="0"/>
                                  <a:ext cx="1428750" cy="1990725"/>
                                </a:xfrm>
                                <a:prstGeom prst="rect">
                                  <a:avLst/>
                                </a:prstGeom>
                                <a:noFill/>
                                <a:ln w="9525">
                                  <a:noFill/>
                                  <a:miter lim="800000"/>
                                  <a:headEnd/>
                                  <a:tailEnd/>
                                </a:ln>
                              </pic:spPr>
                            </pic:pic>
                          </a:graphicData>
                        </a:graphic>
                      </wp:inline>
                    </w:drawing>
                  </w:r>
                </w:p>
              </w:tc>
            </w:tr>
          </w:tbl>
          <w:p w:rsidR="00F974BC" w:rsidRPr="00F974BC" w:rsidRDefault="00F974BC" w:rsidP="00F974BC"/>
        </w:tc>
      </w:tr>
    </w:tbl>
    <w:p w:rsidR="00457287" w:rsidRDefault="00457287"/>
    <w:sectPr w:rsidR="00457287" w:rsidSect="00457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974BC"/>
    <w:rsid w:val="00457287"/>
    <w:rsid w:val="00F9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4BC"/>
    <w:rPr>
      <w:color w:val="0000FF" w:themeColor="hyperlink"/>
      <w:u w:val="single"/>
    </w:rPr>
  </w:style>
  <w:style w:type="paragraph" w:styleId="BalloonText">
    <w:name w:val="Balloon Text"/>
    <w:basedOn w:val="Normal"/>
    <w:link w:val="BalloonTextChar"/>
    <w:uiPriority w:val="99"/>
    <w:semiHidden/>
    <w:unhideWhenUsed/>
    <w:rsid w:val="00F9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4271">
      <w:bodyDiv w:val="1"/>
      <w:marLeft w:val="0"/>
      <w:marRight w:val="0"/>
      <w:marTop w:val="0"/>
      <w:marBottom w:val="0"/>
      <w:divBdr>
        <w:top w:val="none" w:sz="0" w:space="0" w:color="auto"/>
        <w:left w:val="none" w:sz="0" w:space="0" w:color="auto"/>
        <w:bottom w:val="none" w:sz="0" w:space="0" w:color="auto"/>
        <w:right w:val="none" w:sz="0" w:space="0" w:color="auto"/>
      </w:divBdr>
    </w:div>
    <w:div w:id="3546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jpg@01D09898.0B910A1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upport.citrixonline.com/s/G2W/Help/SystemRequirements" TargetMode="External"/><Relationship Id="rId10" Type="http://schemas.openxmlformats.org/officeDocument/2006/relationships/theme" Target="theme/theme1.xml"/><Relationship Id="rId4" Type="http://schemas.openxmlformats.org/officeDocument/2006/relationships/hyperlink" Target="https://attendee.gotowebinar.com/register/2352441805443584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2015-05-28T12:46:00Z</dcterms:created>
  <dcterms:modified xsi:type="dcterms:W3CDTF">2015-05-28T12:46:00Z</dcterms:modified>
</cp:coreProperties>
</file>